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76C" w:rsidRDefault="0004576C" w:rsidP="009D3E70">
      <w:pPr>
        <w:spacing w:line="480" w:lineRule="auto"/>
        <w:rPr>
          <w:rFonts w:ascii="Times New Roman" w:hAnsi="Times New Roman" w:cs="Times New Roman"/>
          <w:b/>
          <w:sz w:val="24"/>
          <w:szCs w:val="24"/>
        </w:rPr>
      </w:pPr>
    </w:p>
    <w:p w:rsidR="0004576C" w:rsidRPr="0004576C" w:rsidRDefault="0004576C" w:rsidP="0004576C">
      <w:pPr>
        <w:spacing w:line="480" w:lineRule="auto"/>
        <w:jc w:val="center"/>
        <w:rPr>
          <w:rFonts w:ascii="Times New Roman" w:hAnsi="Times New Roman" w:cs="Times New Roman"/>
          <w:b/>
          <w:sz w:val="24"/>
          <w:szCs w:val="24"/>
        </w:rPr>
      </w:pPr>
      <w:r w:rsidRPr="0004576C">
        <w:rPr>
          <w:rFonts w:ascii="Times New Roman" w:hAnsi="Times New Roman" w:cs="Times New Roman"/>
          <w:b/>
          <w:sz w:val="24"/>
          <w:szCs w:val="24"/>
        </w:rPr>
        <w:t>Hypertension: Case #4 – Treatment Plan</w:t>
      </w:r>
    </w:p>
    <w:p w:rsidR="0004576C" w:rsidRDefault="0004576C" w:rsidP="009D3E70">
      <w:pPr>
        <w:spacing w:line="480" w:lineRule="auto"/>
        <w:rPr>
          <w:rFonts w:ascii="Times New Roman" w:hAnsi="Times New Roman" w:cs="Times New Roman"/>
          <w:sz w:val="24"/>
          <w:szCs w:val="24"/>
        </w:rPr>
      </w:pPr>
    </w:p>
    <w:p w:rsidR="0004576C" w:rsidRDefault="0004576C" w:rsidP="0004576C">
      <w:pPr>
        <w:spacing w:line="480" w:lineRule="auto"/>
        <w:rPr>
          <w:rFonts w:ascii="Times New Roman" w:hAnsi="Times New Roman" w:cs="Times New Roman"/>
          <w:sz w:val="24"/>
          <w:szCs w:val="24"/>
        </w:rPr>
      </w:pPr>
    </w:p>
    <w:p w:rsidR="0004576C" w:rsidRPr="0004576C" w:rsidRDefault="0004576C" w:rsidP="0004576C">
      <w:pPr>
        <w:spacing w:line="480" w:lineRule="auto"/>
        <w:jc w:val="center"/>
        <w:rPr>
          <w:rFonts w:ascii="Times New Roman" w:hAnsi="Times New Roman" w:cs="Times New Roman"/>
          <w:sz w:val="24"/>
          <w:szCs w:val="24"/>
        </w:rPr>
      </w:pPr>
      <w:r w:rsidRPr="0004576C">
        <w:rPr>
          <w:rFonts w:ascii="Times New Roman" w:hAnsi="Times New Roman" w:cs="Times New Roman"/>
          <w:sz w:val="24"/>
          <w:szCs w:val="24"/>
        </w:rPr>
        <w:t>Student’s Name</w:t>
      </w:r>
    </w:p>
    <w:p w:rsidR="0004576C" w:rsidRPr="0004576C" w:rsidRDefault="0004576C" w:rsidP="0004576C">
      <w:pPr>
        <w:spacing w:line="480" w:lineRule="auto"/>
        <w:jc w:val="center"/>
        <w:rPr>
          <w:rFonts w:ascii="Times New Roman" w:hAnsi="Times New Roman" w:cs="Times New Roman"/>
          <w:sz w:val="24"/>
          <w:szCs w:val="24"/>
        </w:rPr>
      </w:pPr>
      <w:r w:rsidRPr="0004576C">
        <w:rPr>
          <w:rFonts w:ascii="Times New Roman" w:hAnsi="Times New Roman" w:cs="Times New Roman"/>
          <w:sz w:val="24"/>
          <w:szCs w:val="24"/>
        </w:rPr>
        <w:t>Institution of Affiliation</w:t>
      </w:r>
    </w:p>
    <w:p w:rsidR="0004576C" w:rsidRPr="0004576C" w:rsidRDefault="0004576C" w:rsidP="0004576C">
      <w:pPr>
        <w:spacing w:line="480" w:lineRule="auto"/>
        <w:jc w:val="center"/>
        <w:rPr>
          <w:rFonts w:ascii="Times New Roman" w:hAnsi="Times New Roman" w:cs="Times New Roman"/>
          <w:sz w:val="24"/>
          <w:szCs w:val="24"/>
        </w:rPr>
      </w:pPr>
      <w:r w:rsidRPr="0004576C">
        <w:rPr>
          <w:rFonts w:ascii="Times New Roman" w:hAnsi="Times New Roman" w:cs="Times New Roman"/>
          <w:sz w:val="24"/>
          <w:szCs w:val="24"/>
        </w:rPr>
        <w:t>Course Code and Name</w:t>
      </w:r>
    </w:p>
    <w:p w:rsidR="0004576C" w:rsidRPr="0004576C" w:rsidRDefault="0004576C" w:rsidP="0004576C">
      <w:pPr>
        <w:spacing w:line="480" w:lineRule="auto"/>
        <w:jc w:val="center"/>
        <w:rPr>
          <w:rFonts w:ascii="Times New Roman" w:hAnsi="Times New Roman" w:cs="Times New Roman"/>
          <w:sz w:val="24"/>
          <w:szCs w:val="24"/>
        </w:rPr>
      </w:pPr>
      <w:r w:rsidRPr="0004576C">
        <w:rPr>
          <w:rFonts w:ascii="Times New Roman" w:hAnsi="Times New Roman" w:cs="Times New Roman"/>
          <w:sz w:val="24"/>
          <w:szCs w:val="24"/>
        </w:rPr>
        <w:t>Professor</w:t>
      </w:r>
    </w:p>
    <w:p w:rsidR="00B76EC1" w:rsidRDefault="0004576C" w:rsidP="00B76EC1">
      <w:pPr>
        <w:spacing w:line="480" w:lineRule="auto"/>
        <w:jc w:val="center"/>
        <w:rPr>
          <w:rFonts w:ascii="Times New Roman" w:hAnsi="Times New Roman" w:cs="Times New Roman"/>
          <w:sz w:val="24"/>
          <w:szCs w:val="24"/>
        </w:rPr>
      </w:pPr>
      <w:r w:rsidRPr="0004576C">
        <w:rPr>
          <w:rFonts w:ascii="Times New Roman" w:hAnsi="Times New Roman" w:cs="Times New Roman"/>
          <w:sz w:val="24"/>
          <w:szCs w:val="24"/>
        </w:rPr>
        <w:t>Date</w:t>
      </w:r>
    </w:p>
    <w:p w:rsidR="00B76EC1" w:rsidRDefault="00B76EC1" w:rsidP="00B76EC1">
      <w:pPr>
        <w:spacing w:line="480" w:lineRule="auto"/>
        <w:rPr>
          <w:rFonts w:ascii="Times New Roman" w:hAnsi="Times New Roman" w:cs="Times New Roman"/>
          <w:sz w:val="24"/>
          <w:szCs w:val="24"/>
        </w:rPr>
      </w:pPr>
    </w:p>
    <w:p w:rsidR="009D3E70" w:rsidRDefault="009D3E70" w:rsidP="00B76EC1">
      <w:pPr>
        <w:spacing w:line="480" w:lineRule="auto"/>
        <w:rPr>
          <w:rFonts w:ascii="Times New Roman" w:hAnsi="Times New Roman" w:cs="Times New Roman"/>
          <w:sz w:val="24"/>
          <w:szCs w:val="24"/>
        </w:rPr>
      </w:pPr>
    </w:p>
    <w:p w:rsidR="009D3E70" w:rsidRDefault="009D3E70" w:rsidP="00B76EC1">
      <w:pPr>
        <w:spacing w:line="480" w:lineRule="auto"/>
        <w:rPr>
          <w:rFonts w:ascii="Times New Roman" w:hAnsi="Times New Roman" w:cs="Times New Roman"/>
          <w:sz w:val="24"/>
          <w:szCs w:val="24"/>
        </w:rPr>
      </w:pPr>
    </w:p>
    <w:p w:rsidR="009D3E70" w:rsidRDefault="009D3E70" w:rsidP="00B76EC1">
      <w:pPr>
        <w:spacing w:line="480" w:lineRule="auto"/>
        <w:rPr>
          <w:rFonts w:ascii="Times New Roman" w:hAnsi="Times New Roman" w:cs="Times New Roman"/>
          <w:sz w:val="24"/>
          <w:szCs w:val="24"/>
        </w:rPr>
      </w:pPr>
    </w:p>
    <w:p w:rsidR="009D3E70" w:rsidRDefault="009D3E70" w:rsidP="00B76EC1">
      <w:pPr>
        <w:spacing w:line="480" w:lineRule="auto"/>
        <w:rPr>
          <w:rFonts w:ascii="Times New Roman" w:hAnsi="Times New Roman" w:cs="Times New Roman"/>
          <w:sz w:val="24"/>
          <w:szCs w:val="24"/>
        </w:rPr>
      </w:pPr>
    </w:p>
    <w:p w:rsidR="009D3E70" w:rsidRDefault="009D3E70" w:rsidP="00B76EC1">
      <w:pPr>
        <w:spacing w:line="480" w:lineRule="auto"/>
        <w:rPr>
          <w:rFonts w:ascii="Times New Roman" w:hAnsi="Times New Roman" w:cs="Times New Roman"/>
          <w:sz w:val="24"/>
          <w:szCs w:val="24"/>
        </w:rPr>
      </w:pPr>
    </w:p>
    <w:p w:rsidR="009D3E70" w:rsidRDefault="009D3E70" w:rsidP="00B76EC1">
      <w:pPr>
        <w:spacing w:line="480" w:lineRule="auto"/>
        <w:rPr>
          <w:rFonts w:ascii="Times New Roman" w:hAnsi="Times New Roman" w:cs="Times New Roman"/>
          <w:sz w:val="24"/>
          <w:szCs w:val="24"/>
        </w:rPr>
      </w:pPr>
    </w:p>
    <w:p w:rsidR="009D3E70" w:rsidRDefault="009D3E70" w:rsidP="00B76EC1">
      <w:pPr>
        <w:spacing w:line="480" w:lineRule="auto"/>
        <w:rPr>
          <w:rFonts w:ascii="Times New Roman" w:hAnsi="Times New Roman" w:cs="Times New Roman"/>
          <w:sz w:val="24"/>
          <w:szCs w:val="24"/>
        </w:rPr>
      </w:pPr>
      <w:bookmarkStart w:id="0" w:name="_GoBack"/>
      <w:bookmarkEnd w:id="0"/>
    </w:p>
    <w:p w:rsidR="0004576C" w:rsidRPr="00B76EC1" w:rsidRDefault="0004576C" w:rsidP="00B76EC1">
      <w:pPr>
        <w:spacing w:line="480" w:lineRule="auto"/>
        <w:jc w:val="center"/>
        <w:rPr>
          <w:rFonts w:ascii="Times New Roman" w:hAnsi="Times New Roman" w:cs="Times New Roman"/>
          <w:b/>
          <w:sz w:val="24"/>
          <w:szCs w:val="24"/>
        </w:rPr>
      </w:pPr>
      <w:r w:rsidRPr="00B76EC1">
        <w:rPr>
          <w:rFonts w:ascii="Times New Roman" w:hAnsi="Times New Roman" w:cs="Times New Roman"/>
          <w:b/>
          <w:sz w:val="24"/>
          <w:szCs w:val="24"/>
        </w:rPr>
        <w:lastRenderedPageBreak/>
        <w:t>Hypertension: Case #4 – Treatment Plan</w:t>
      </w:r>
    </w:p>
    <w:p w:rsidR="000816AE" w:rsidRPr="0004576C" w:rsidRDefault="000816AE" w:rsidP="0004576C">
      <w:pPr>
        <w:spacing w:line="480" w:lineRule="auto"/>
        <w:ind w:firstLine="720"/>
        <w:rPr>
          <w:rFonts w:ascii="Times New Roman" w:hAnsi="Times New Roman" w:cs="Times New Roman"/>
          <w:sz w:val="24"/>
          <w:szCs w:val="24"/>
        </w:rPr>
      </w:pPr>
      <w:r w:rsidRPr="0004576C">
        <w:rPr>
          <w:rFonts w:ascii="Times New Roman" w:hAnsi="Times New Roman" w:cs="Times New Roman"/>
          <w:sz w:val="24"/>
          <w:szCs w:val="24"/>
        </w:rPr>
        <w:t>There are numerous lifestyle diseases that have become manifest in a number of population subgroups across the globe. These lifestyle diseases arose from the changes in the lifestyle demonstrated by the affected individuals and especially in the developed countries. This change is more so apparent as the use of technology in every aspect of our lives came to be norm in the lives of many people helping tom make work easier for a lot of people. The incidence and prevalence rates of the likes of hypertension and diabetes has risen to the new level high among the global population as slowly, these disease come to account for a considerable proportion of the burden of disease in the developing countries as well (</w:t>
      </w:r>
      <w:r w:rsidR="009D42BA">
        <w:rPr>
          <w:rFonts w:ascii="Times New Roman" w:hAnsi="Times New Roman" w:cs="Times New Roman"/>
          <w:sz w:val="24"/>
          <w:szCs w:val="24"/>
        </w:rPr>
        <w:t>Guwatudde et al</w:t>
      </w:r>
      <w:r w:rsidR="00B76EC1">
        <w:rPr>
          <w:rFonts w:ascii="Times New Roman" w:hAnsi="Times New Roman" w:cs="Times New Roman"/>
          <w:sz w:val="24"/>
          <w:szCs w:val="24"/>
        </w:rPr>
        <w:t>.</w:t>
      </w:r>
      <w:r w:rsidR="009D42BA">
        <w:rPr>
          <w:rFonts w:ascii="Times New Roman" w:hAnsi="Times New Roman" w:cs="Times New Roman"/>
          <w:sz w:val="24"/>
          <w:szCs w:val="24"/>
        </w:rPr>
        <w:t>, 2015</w:t>
      </w:r>
      <w:r w:rsidRPr="0004576C">
        <w:rPr>
          <w:rFonts w:ascii="Times New Roman" w:hAnsi="Times New Roman" w:cs="Times New Roman"/>
          <w:sz w:val="24"/>
          <w:szCs w:val="24"/>
        </w:rPr>
        <w:t xml:space="preserve">). These lifestyle diseases, luckily, can be easily managed by way of a combination of pharmacologic and non-pharmacologic therapies. However, achieving this control is easier said than done as adherence to medication presents a worrying </w:t>
      </w:r>
      <w:r w:rsidR="005D4700" w:rsidRPr="0004576C">
        <w:rPr>
          <w:rFonts w:ascii="Times New Roman" w:hAnsi="Times New Roman" w:cs="Times New Roman"/>
          <w:sz w:val="24"/>
          <w:szCs w:val="24"/>
        </w:rPr>
        <w:t>trend among</w:t>
      </w:r>
      <w:r w:rsidRPr="0004576C">
        <w:rPr>
          <w:rFonts w:ascii="Times New Roman" w:hAnsi="Times New Roman" w:cs="Times New Roman"/>
          <w:sz w:val="24"/>
          <w:szCs w:val="24"/>
        </w:rPr>
        <w:t xml:space="preserve"> the population placed on ph</w:t>
      </w:r>
      <w:r w:rsidR="005D4700">
        <w:rPr>
          <w:rFonts w:ascii="Times New Roman" w:hAnsi="Times New Roman" w:cs="Times New Roman"/>
          <w:sz w:val="24"/>
          <w:szCs w:val="24"/>
        </w:rPr>
        <w:t xml:space="preserve">armacologic treatment options </w:t>
      </w:r>
      <w:r w:rsidR="005D4700" w:rsidRPr="0004576C">
        <w:rPr>
          <w:rFonts w:ascii="Times New Roman" w:hAnsi="Times New Roman" w:cs="Times New Roman"/>
          <w:sz w:val="24"/>
          <w:szCs w:val="24"/>
        </w:rPr>
        <w:t>and</w:t>
      </w:r>
      <w:r w:rsidRPr="0004576C">
        <w:rPr>
          <w:rFonts w:ascii="Times New Roman" w:hAnsi="Times New Roman" w:cs="Times New Roman"/>
          <w:sz w:val="24"/>
          <w:szCs w:val="24"/>
        </w:rPr>
        <w:t xml:space="preserve"> with a considerable size of the </w:t>
      </w:r>
      <w:r w:rsidR="005D4700" w:rsidRPr="0004576C">
        <w:rPr>
          <w:rFonts w:ascii="Times New Roman" w:hAnsi="Times New Roman" w:cs="Times New Roman"/>
          <w:sz w:val="24"/>
          <w:szCs w:val="24"/>
        </w:rPr>
        <w:t>population still</w:t>
      </w:r>
      <w:r w:rsidRPr="0004576C">
        <w:rPr>
          <w:rFonts w:ascii="Times New Roman" w:hAnsi="Times New Roman" w:cs="Times New Roman"/>
          <w:sz w:val="24"/>
          <w:szCs w:val="24"/>
        </w:rPr>
        <w:t xml:space="preserve"> remaining undiagnosed. It is in light of the management guidelines of patients with such lifestyle diseases that this treatment plan is developed. The patient of concern is a 39-year-old Hispanic female who has a history of headaches for a period of two weeks. The patient had been to the hospital four times alread</w:t>
      </w:r>
      <w:r w:rsidR="000554E4" w:rsidRPr="0004576C">
        <w:rPr>
          <w:rFonts w:ascii="Times New Roman" w:hAnsi="Times New Roman" w:cs="Times New Roman"/>
          <w:sz w:val="24"/>
          <w:szCs w:val="24"/>
        </w:rPr>
        <w:t>y in the past four weeks and had</w:t>
      </w:r>
      <w:r w:rsidRPr="0004576C">
        <w:rPr>
          <w:rFonts w:ascii="Times New Roman" w:hAnsi="Times New Roman" w:cs="Times New Roman"/>
          <w:sz w:val="24"/>
          <w:szCs w:val="24"/>
        </w:rPr>
        <w:t xml:space="preserve"> been placed</w:t>
      </w:r>
      <w:r w:rsidR="000554E4" w:rsidRPr="0004576C">
        <w:rPr>
          <w:rFonts w:ascii="Times New Roman" w:hAnsi="Times New Roman" w:cs="Times New Roman"/>
          <w:sz w:val="24"/>
          <w:szCs w:val="24"/>
        </w:rPr>
        <w:t xml:space="preserve"> on </w:t>
      </w:r>
      <w:r w:rsidR="005D4700">
        <w:rPr>
          <w:rFonts w:ascii="Times New Roman" w:hAnsi="Times New Roman" w:cs="Times New Roman"/>
          <w:sz w:val="24"/>
          <w:szCs w:val="24"/>
        </w:rPr>
        <w:t>hydrochl</w:t>
      </w:r>
      <w:r w:rsidR="005D4700" w:rsidRPr="0004576C">
        <w:rPr>
          <w:rFonts w:ascii="Times New Roman" w:hAnsi="Times New Roman" w:cs="Times New Roman"/>
          <w:sz w:val="24"/>
          <w:szCs w:val="24"/>
        </w:rPr>
        <w:t>o</w:t>
      </w:r>
      <w:r w:rsidR="005D4700">
        <w:rPr>
          <w:rFonts w:ascii="Times New Roman" w:hAnsi="Times New Roman" w:cs="Times New Roman"/>
          <w:sz w:val="24"/>
          <w:szCs w:val="24"/>
        </w:rPr>
        <w:t>ro</w:t>
      </w:r>
      <w:r w:rsidR="005D4700" w:rsidRPr="0004576C">
        <w:rPr>
          <w:rFonts w:ascii="Times New Roman" w:hAnsi="Times New Roman" w:cs="Times New Roman"/>
          <w:sz w:val="24"/>
          <w:szCs w:val="24"/>
        </w:rPr>
        <w:t>thiazide</w:t>
      </w:r>
      <w:r w:rsidR="000554E4" w:rsidRPr="0004576C">
        <w:rPr>
          <w:rFonts w:ascii="Times New Roman" w:hAnsi="Times New Roman" w:cs="Times New Roman"/>
          <w:sz w:val="24"/>
          <w:szCs w:val="24"/>
        </w:rPr>
        <w:t xml:space="preserve"> (HCTZ) for a blood pressure reading of 188/90. On investigation today, the patient’s blood pressure reads180/74, with a heart rate of 90 beats per minute. Her lab work reveals an abnormal lipid profile with total cholesterol of 325, high density lipoprotein (HDL) of 30, low density lipoprotein (LDL) of 78, and triglycerides of 322. Further lab work reveals A1C of 8 and Body Mass Index (BMI) of 33. </w:t>
      </w:r>
    </w:p>
    <w:p w:rsidR="000554E4" w:rsidRPr="0004576C" w:rsidRDefault="000554E4" w:rsidP="0004576C">
      <w:pPr>
        <w:spacing w:line="480" w:lineRule="auto"/>
        <w:ind w:firstLine="720"/>
        <w:rPr>
          <w:rFonts w:ascii="Times New Roman" w:hAnsi="Times New Roman" w:cs="Times New Roman"/>
          <w:sz w:val="24"/>
          <w:szCs w:val="24"/>
        </w:rPr>
      </w:pPr>
      <w:r w:rsidRPr="0004576C">
        <w:rPr>
          <w:rFonts w:ascii="Times New Roman" w:hAnsi="Times New Roman" w:cs="Times New Roman"/>
          <w:sz w:val="24"/>
          <w:szCs w:val="24"/>
        </w:rPr>
        <w:lastRenderedPageBreak/>
        <w:t>The diseases process of this patient as follows. The patient seems to be suffering from Stage 3 systolic hypertension as per the United Kingdom’s classification of hypertension. In addition, the patient, based on her BMI, appears obese with her BMI of 33 falling within the BMI ranges of 30 and 39.9 which is the obese range</w:t>
      </w:r>
      <w:r w:rsidR="0004576C" w:rsidRPr="0004576C">
        <w:rPr>
          <w:rFonts w:ascii="Times New Roman" w:hAnsi="Times New Roman" w:cs="Times New Roman"/>
          <w:sz w:val="24"/>
          <w:szCs w:val="24"/>
        </w:rPr>
        <w:t xml:space="preserve">. </w:t>
      </w:r>
      <w:r w:rsidR="005D4700" w:rsidRPr="0004576C">
        <w:rPr>
          <w:rFonts w:ascii="Times New Roman" w:hAnsi="Times New Roman" w:cs="Times New Roman"/>
          <w:sz w:val="24"/>
          <w:szCs w:val="24"/>
        </w:rPr>
        <w:t>With</w:t>
      </w:r>
      <w:r w:rsidRPr="0004576C">
        <w:rPr>
          <w:rFonts w:ascii="Times New Roman" w:hAnsi="Times New Roman" w:cs="Times New Roman"/>
          <w:sz w:val="24"/>
          <w:szCs w:val="24"/>
        </w:rPr>
        <w:t xml:space="preserve"> reference to the A1C, a marker used to indicate the diabetic status of the patient, the patient appears to be diabetic. This is as is infor</w:t>
      </w:r>
      <w:r w:rsidR="00AC0D7B" w:rsidRPr="0004576C">
        <w:rPr>
          <w:rFonts w:ascii="Times New Roman" w:hAnsi="Times New Roman" w:cs="Times New Roman"/>
          <w:sz w:val="24"/>
          <w:szCs w:val="24"/>
        </w:rPr>
        <w:t>med by the A1C levels of 6.5% and above</w:t>
      </w:r>
      <w:r w:rsidRPr="0004576C">
        <w:rPr>
          <w:rFonts w:ascii="Times New Roman" w:hAnsi="Times New Roman" w:cs="Times New Roman"/>
          <w:sz w:val="24"/>
          <w:szCs w:val="24"/>
        </w:rPr>
        <w:t xml:space="preserve"> which indicates</w:t>
      </w:r>
      <w:r w:rsidR="00AC0D7B" w:rsidRPr="0004576C">
        <w:rPr>
          <w:rFonts w:ascii="Times New Roman" w:hAnsi="Times New Roman" w:cs="Times New Roman"/>
          <w:sz w:val="24"/>
          <w:szCs w:val="24"/>
        </w:rPr>
        <w:t xml:space="preserve"> diabetes (Aviles-Santa et al., 2016). </w:t>
      </w:r>
      <w:r w:rsidR="000A671C" w:rsidRPr="0004576C">
        <w:rPr>
          <w:rFonts w:ascii="Times New Roman" w:hAnsi="Times New Roman" w:cs="Times New Roman"/>
          <w:sz w:val="24"/>
          <w:szCs w:val="24"/>
        </w:rPr>
        <w:t>With reference to the patient’s lipid profile, she seemingly has very high or severe hypercholesterolemia</w:t>
      </w:r>
      <w:r w:rsidR="003454D2" w:rsidRPr="0004576C">
        <w:rPr>
          <w:rFonts w:ascii="Times New Roman" w:hAnsi="Times New Roman" w:cs="Times New Roman"/>
          <w:sz w:val="24"/>
          <w:szCs w:val="24"/>
        </w:rPr>
        <w:t xml:space="preserve"> of above 200</w:t>
      </w:r>
      <w:r w:rsidR="000A671C" w:rsidRPr="0004576C">
        <w:rPr>
          <w:rFonts w:ascii="Times New Roman" w:hAnsi="Times New Roman" w:cs="Times New Roman"/>
          <w:sz w:val="24"/>
          <w:szCs w:val="24"/>
        </w:rPr>
        <w:t xml:space="preserve"> </w:t>
      </w:r>
      <w:r w:rsidR="003454D2" w:rsidRPr="0004576C">
        <w:rPr>
          <w:rFonts w:ascii="Times New Roman" w:hAnsi="Times New Roman" w:cs="Times New Roman"/>
          <w:sz w:val="24"/>
          <w:szCs w:val="24"/>
        </w:rPr>
        <w:t>milligrams</w:t>
      </w:r>
      <w:r w:rsidR="000A671C" w:rsidRPr="0004576C">
        <w:rPr>
          <w:rFonts w:ascii="Times New Roman" w:hAnsi="Times New Roman" w:cs="Times New Roman"/>
          <w:sz w:val="24"/>
          <w:szCs w:val="24"/>
        </w:rPr>
        <w:t xml:space="preserve"> per </w:t>
      </w:r>
      <w:r w:rsidR="003454D2" w:rsidRPr="0004576C">
        <w:rPr>
          <w:rFonts w:ascii="Times New Roman" w:hAnsi="Times New Roman" w:cs="Times New Roman"/>
          <w:sz w:val="24"/>
          <w:szCs w:val="24"/>
        </w:rPr>
        <w:t>deciliter as is indicated by her cho</w:t>
      </w:r>
      <w:r w:rsidR="000A671C" w:rsidRPr="0004576C">
        <w:rPr>
          <w:rFonts w:ascii="Times New Roman" w:hAnsi="Times New Roman" w:cs="Times New Roman"/>
          <w:sz w:val="24"/>
          <w:szCs w:val="24"/>
        </w:rPr>
        <w:t>lest</w:t>
      </w:r>
      <w:r w:rsidR="003454D2" w:rsidRPr="0004576C">
        <w:rPr>
          <w:rFonts w:ascii="Times New Roman" w:hAnsi="Times New Roman" w:cs="Times New Roman"/>
          <w:sz w:val="24"/>
          <w:szCs w:val="24"/>
        </w:rPr>
        <w:t>e</w:t>
      </w:r>
      <w:r w:rsidR="000A671C" w:rsidRPr="0004576C">
        <w:rPr>
          <w:rFonts w:ascii="Times New Roman" w:hAnsi="Times New Roman" w:cs="Times New Roman"/>
          <w:sz w:val="24"/>
          <w:szCs w:val="24"/>
        </w:rPr>
        <w:t xml:space="preserve">rol levels of 325. She </w:t>
      </w:r>
      <w:r w:rsidR="003454D2" w:rsidRPr="0004576C">
        <w:rPr>
          <w:rFonts w:ascii="Times New Roman" w:hAnsi="Times New Roman" w:cs="Times New Roman"/>
          <w:sz w:val="24"/>
          <w:szCs w:val="24"/>
        </w:rPr>
        <w:t>also has</w:t>
      </w:r>
      <w:r w:rsidR="000A671C" w:rsidRPr="0004576C">
        <w:rPr>
          <w:rFonts w:ascii="Times New Roman" w:hAnsi="Times New Roman" w:cs="Times New Roman"/>
          <w:sz w:val="24"/>
          <w:szCs w:val="24"/>
        </w:rPr>
        <w:t xml:space="preserve"> severe hypertriglyceridemia</w:t>
      </w:r>
      <w:r w:rsidR="003454D2" w:rsidRPr="0004576C">
        <w:rPr>
          <w:rFonts w:ascii="Times New Roman" w:hAnsi="Times New Roman" w:cs="Times New Roman"/>
          <w:sz w:val="24"/>
          <w:szCs w:val="24"/>
        </w:rPr>
        <w:t xml:space="preserve"> of above 150 milligrams</w:t>
      </w:r>
      <w:r w:rsidR="000A671C" w:rsidRPr="0004576C">
        <w:rPr>
          <w:rFonts w:ascii="Times New Roman" w:hAnsi="Times New Roman" w:cs="Times New Roman"/>
          <w:sz w:val="24"/>
          <w:szCs w:val="24"/>
        </w:rPr>
        <w:t xml:space="preserve"> per </w:t>
      </w:r>
      <w:r w:rsidR="003454D2" w:rsidRPr="0004576C">
        <w:rPr>
          <w:rFonts w:ascii="Times New Roman" w:hAnsi="Times New Roman" w:cs="Times New Roman"/>
          <w:sz w:val="24"/>
          <w:szCs w:val="24"/>
        </w:rPr>
        <w:t>deciliter with normal levels of LDL that is less than 100 milligrams per deciliter</w:t>
      </w:r>
      <w:r w:rsidR="006704CA" w:rsidRPr="0004576C">
        <w:rPr>
          <w:rFonts w:ascii="Times New Roman" w:hAnsi="Times New Roman" w:cs="Times New Roman"/>
          <w:sz w:val="24"/>
          <w:szCs w:val="24"/>
        </w:rPr>
        <w:t>, with lower levels of HDL that is less than the ideal 40 milligrams per deciliter</w:t>
      </w:r>
      <w:r w:rsidR="003454D2" w:rsidRPr="0004576C">
        <w:rPr>
          <w:rFonts w:ascii="Times New Roman" w:hAnsi="Times New Roman" w:cs="Times New Roman"/>
          <w:sz w:val="24"/>
          <w:szCs w:val="24"/>
        </w:rPr>
        <w:t>. In concl</w:t>
      </w:r>
      <w:r w:rsidR="000A671C" w:rsidRPr="0004576C">
        <w:rPr>
          <w:rFonts w:ascii="Times New Roman" w:hAnsi="Times New Roman" w:cs="Times New Roman"/>
          <w:sz w:val="24"/>
          <w:szCs w:val="24"/>
        </w:rPr>
        <w:t xml:space="preserve">usion, the patient is seemingly obese with uncontrolled levels of cholesterol, LDL, and triglyceride, with low HDL. She is also a diabetic on addition to presenting with </w:t>
      </w:r>
      <w:r w:rsidR="00DC4FE9" w:rsidRPr="0004576C">
        <w:rPr>
          <w:rFonts w:ascii="Times New Roman" w:hAnsi="Times New Roman" w:cs="Times New Roman"/>
          <w:sz w:val="24"/>
          <w:szCs w:val="24"/>
        </w:rPr>
        <w:t xml:space="preserve">hypertension. </w:t>
      </w:r>
    </w:p>
    <w:p w:rsidR="00DC4FE9" w:rsidRPr="0004576C" w:rsidRDefault="00DC4FE9" w:rsidP="0004576C">
      <w:pPr>
        <w:spacing w:line="480" w:lineRule="auto"/>
        <w:ind w:firstLine="720"/>
        <w:rPr>
          <w:rFonts w:ascii="Times New Roman" w:hAnsi="Times New Roman" w:cs="Times New Roman"/>
          <w:sz w:val="24"/>
          <w:szCs w:val="24"/>
        </w:rPr>
      </w:pPr>
      <w:r w:rsidRPr="0004576C">
        <w:rPr>
          <w:rFonts w:ascii="Times New Roman" w:hAnsi="Times New Roman" w:cs="Times New Roman"/>
          <w:sz w:val="24"/>
          <w:szCs w:val="24"/>
        </w:rPr>
        <w:t xml:space="preserve">In a bid to optimize the patient’s health, the pharmacological treatment plan will be targeted at the three comorbid diseases. This will include the use of antihypertensive medications, lipid lowering drugs to help correct the patient’s abnormal lipid profile, and appropriate diabetic medications to help them get their sugar levels under control. To begin with, the patient will be placed on </w:t>
      </w:r>
      <w:r w:rsidR="003454D2" w:rsidRPr="0004576C">
        <w:rPr>
          <w:rFonts w:ascii="Times New Roman" w:hAnsi="Times New Roman" w:cs="Times New Roman"/>
          <w:sz w:val="24"/>
          <w:szCs w:val="24"/>
        </w:rPr>
        <w:t>combination therapy for the management of hypertension given the long list of benefits that can be derived from this type of therapy. The combination therapy will make use of a diuretic and a calcium antagonist</w:t>
      </w:r>
      <w:r w:rsidR="0004576C" w:rsidRPr="0004576C">
        <w:rPr>
          <w:rFonts w:ascii="Times New Roman" w:hAnsi="Times New Roman" w:cs="Times New Roman"/>
          <w:sz w:val="24"/>
          <w:szCs w:val="24"/>
        </w:rPr>
        <w:t xml:space="preserve"> (Guerrero-Garcia &amp; Rubio-Guerra, 2018)</w:t>
      </w:r>
      <w:r w:rsidR="003454D2" w:rsidRPr="0004576C">
        <w:rPr>
          <w:rFonts w:ascii="Times New Roman" w:hAnsi="Times New Roman" w:cs="Times New Roman"/>
          <w:sz w:val="24"/>
          <w:szCs w:val="24"/>
        </w:rPr>
        <w:t xml:space="preserve">. The diuretic given will be </w:t>
      </w:r>
      <w:r w:rsidR="005D4700" w:rsidRPr="0004576C">
        <w:rPr>
          <w:rFonts w:ascii="Times New Roman" w:hAnsi="Times New Roman" w:cs="Times New Roman"/>
          <w:sz w:val="24"/>
          <w:szCs w:val="24"/>
        </w:rPr>
        <w:t>hydrochlorothiazide</w:t>
      </w:r>
      <w:r w:rsidRPr="0004576C">
        <w:rPr>
          <w:rFonts w:ascii="Times New Roman" w:hAnsi="Times New Roman" w:cs="Times New Roman"/>
          <w:sz w:val="24"/>
          <w:szCs w:val="24"/>
        </w:rPr>
        <w:t xml:space="preserve"> (HCTZ) because the patient seemingly has an uncomplicated hypertension with normal renal and cardiac functions. This drug will be given orally as a single morning dose, starting with a low dose. </w:t>
      </w:r>
      <w:r w:rsidR="005D4700" w:rsidRPr="0004576C">
        <w:rPr>
          <w:rFonts w:ascii="Times New Roman" w:hAnsi="Times New Roman" w:cs="Times New Roman"/>
          <w:sz w:val="24"/>
          <w:szCs w:val="24"/>
        </w:rPr>
        <w:t>The indirect acting vasodilator g</w:t>
      </w:r>
      <w:r w:rsidR="005D4700">
        <w:rPr>
          <w:rFonts w:ascii="Times New Roman" w:hAnsi="Times New Roman" w:cs="Times New Roman"/>
          <w:sz w:val="24"/>
          <w:szCs w:val="24"/>
        </w:rPr>
        <w:t xml:space="preserve">iven </w:t>
      </w:r>
      <w:r w:rsidR="005D4700">
        <w:rPr>
          <w:rFonts w:ascii="Times New Roman" w:hAnsi="Times New Roman" w:cs="Times New Roman"/>
          <w:sz w:val="24"/>
          <w:szCs w:val="24"/>
        </w:rPr>
        <w:lastRenderedPageBreak/>
        <w:t>would be N</w:t>
      </w:r>
      <w:r w:rsidR="005D4700" w:rsidRPr="0004576C">
        <w:rPr>
          <w:rFonts w:ascii="Times New Roman" w:hAnsi="Times New Roman" w:cs="Times New Roman"/>
          <w:sz w:val="24"/>
          <w:szCs w:val="24"/>
        </w:rPr>
        <w:t xml:space="preserve">ifedipine, a dihydropiridine that is a calcium channel antagonist with specificity for peripheral artery dilation and no known effects of slowing the Atrioventricular conductance, heart rate, and or depression of the sinoatrial (SA) node (Takahara et al., 2018). </w:t>
      </w:r>
      <w:r w:rsidR="003454D2" w:rsidRPr="0004576C">
        <w:rPr>
          <w:rFonts w:ascii="Times New Roman" w:hAnsi="Times New Roman" w:cs="Times New Roman"/>
          <w:sz w:val="24"/>
          <w:szCs w:val="24"/>
        </w:rPr>
        <w:t xml:space="preserve">In the management of the abnormal profile depicted by the patient, the lipid lowering drug of choice would </w:t>
      </w:r>
      <w:r w:rsidR="006704CA" w:rsidRPr="0004576C">
        <w:rPr>
          <w:rFonts w:ascii="Times New Roman" w:hAnsi="Times New Roman" w:cs="Times New Roman"/>
          <w:sz w:val="24"/>
          <w:szCs w:val="24"/>
        </w:rPr>
        <w:t xml:space="preserve">include treatment with fibrates. To be more specific, Gemfibrozil, because fibrates they are known to produce the net effect of reducing the very low density lipoproteins (VLDL) and hence a reduction in triglycerides with approximately a 10% increase in HDL. Lastly, in the management of diabetes, the drug of choice would be the ultra-long acting analogue of insulin such as insulin glargine. </w:t>
      </w:r>
    </w:p>
    <w:p w:rsidR="006704CA" w:rsidRPr="0004576C" w:rsidRDefault="006704CA" w:rsidP="0004576C">
      <w:pPr>
        <w:spacing w:line="480" w:lineRule="auto"/>
        <w:ind w:firstLine="720"/>
        <w:rPr>
          <w:rFonts w:ascii="Times New Roman" w:hAnsi="Times New Roman" w:cs="Times New Roman"/>
          <w:sz w:val="24"/>
          <w:szCs w:val="24"/>
        </w:rPr>
      </w:pPr>
      <w:r w:rsidRPr="0004576C">
        <w:rPr>
          <w:rFonts w:ascii="Times New Roman" w:hAnsi="Times New Roman" w:cs="Times New Roman"/>
          <w:sz w:val="24"/>
          <w:szCs w:val="24"/>
        </w:rPr>
        <w:t xml:space="preserve">The ultimate goal for this patient would be </w:t>
      </w:r>
      <w:r w:rsidR="00B8618D" w:rsidRPr="0004576C">
        <w:rPr>
          <w:rFonts w:ascii="Times New Roman" w:hAnsi="Times New Roman" w:cs="Times New Roman"/>
          <w:sz w:val="24"/>
          <w:szCs w:val="24"/>
        </w:rPr>
        <w:t xml:space="preserve">to prevent the development of heart failure. Individual goals for the isolated therapy option include: to attain </w:t>
      </w:r>
      <w:r w:rsidRPr="0004576C">
        <w:rPr>
          <w:rFonts w:ascii="Times New Roman" w:hAnsi="Times New Roman" w:cs="Times New Roman"/>
          <w:sz w:val="24"/>
          <w:szCs w:val="24"/>
        </w:rPr>
        <w:t xml:space="preserve">normal blood glucose levels with control over the diabetic state of the patient. Secondly, the management of the dyslipidemia is targeted at obtaining significantly reduced total cholesterol and triglycerides with increase in the good cholesterol (HDL) all within the required ranges for each type of lipid. Lastly, treatment of the hypertension is with the goal of </w:t>
      </w:r>
      <w:r w:rsidR="00B8618D" w:rsidRPr="0004576C">
        <w:rPr>
          <w:rFonts w:ascii="Times New Roman" w:hAnsi="Times New Roman" w:cs="Times New Roman"/>
          <w:sz w:val="24"/>
          <w:szCs w:val="24"/>
        </w:rPr>
        <w:t xml:space="preserve">reducing the patient’s blood pressure to near normal levels of blood pressure or the desired and or recommended levels for the patient given their age, gender, and culture. The optimal goal for this patient is as is informed by the </w:t>
      </w:r>
      <w:r w:rsidR="005F2099" w:rsidRPr="0004576C">
        <w:rPr>
          <w:rFonts w:ascii="Times New Roman" w:hAnsi="Times New Roman" w:cs="Times New Roman"/>
          <w:sz w:val="24"/>
          <w:szCs w:val="24"/>
        </w:rPr>
        <w:t xml:space="preserve">recent </w:t>
      </w:r>
      <w:r w:rsidR="00B8618D" w:rsidRPr="0004576C">
        <w:rPr>
          <w:rFonts w:ascii="Times New Roman" w:hAnsi="Times New Roman" w:cs="Times New Roman"/>
          <w:sz w:val="24"/>
          <w:szCs w:val="24"/>
        </w:rPr>
        <w:t>American College of Cardiology Foundation (ACCF)</w:t>
      </w:r>
      <w:r w:rsidR="005F2099" w:rsidRPr="0004576C">
        <w:rPr>
          <w:rFonts w:ascii="Times New Roman" w:hAnsi="Times New Roman" w:cs="Times New Roman"/>
          <w:sz w:val="24"/>
          <w:szCs w:val="24"/>
        </w:rPr>
        <w:t>/ American H</w:t>
      </w:r>
      <w:r w:rsidR="00B8618D" w:rsidRPr="0004576C">
        <w:rPr>
          <w:rFonts w:ascii="Times New Roman" w:hAnsi="Times New Roman" w:cs="Times New Roman"/>
          <w:sz w:val="24"/>
          <w:szCs w:val="24"/>
        </w:rPr>
        <w:t>e</w:t>
      </w:r>
      <w:r w:rsidR="005F2099" w:rsidRPr="0004576C">
        <w:rPr>
          <w:rFonts w:ascii="Times New Roman" w:hAnsi="Times New Roman" w:cs="Times New Roman"/>
          <w:sz w:val="24"/>
          <w:szCs w:val="24"/>
        </w:rPr>
        <w:t>a</w:t>
      </w:r>
      <w:r w:rsidR="00B8618D" w:rsidRPr="0004576C">
        <w:rPr>
          <w:rFonts w:ascii="Times New Roman" w:hAnsi="Times New Roman" w:cs="Times New Roman"/>
          <w:sz w:val="24"/>
          <w:szCs w:val="24"/>
        </w:rPr>
        <w:t>rt Association (AHA) guidelines which address the role of lifestyle of modification, treatment of blood cholesterol, and management of overweight and obesity in the general population and in patients with increased cardiovascular risk (</w:t>
      </w:r>
      <w:r w:rsidR="005F2099" w:rsidRPr="0004576C">
        <w:rPr>
          <w:rFonts w:ascii="Times New Roman" w:hAnsi="Times New Roman" w:cs="Times New Roman"/>
          <w:sz w:val="24"/>
          <w:szCs w:val="24"/>
        </w:rPr>
        <w:t>Bozkurt et al., 2016</w:t>
      </w:r>
      <w:r w:rsidR="00B8618D" w:rsidRPr="0004576C">
        <w:rPr>
          <w:rFonts w:ascii="Times New Roman" w:hAnsi="Times New Roman" w:cs="Times New Roman"/>
          <w:sz w:val="24"/>
          <w:szCs w:val="24"/>
        </w:rPr>
        <w:t xml:space="preserve">). In addition, to the Eight Joint National Committee guidelines that provides evidence suggesting the management of hypertension to help prevent the </w:t>
      </w:r>
      <w:r w:rsidR="005F2099" w:rsidRPr="0004576C">
        <w:rPr>
          <w:rFonts w:ascii="Times New Roman" w:hAnsi="Times New Roman" w:cs="Times New Roman"/>
          <w:sz w:val="24"/>
          <w:szCs w:val="24"/>
        </w:rPr>
        <w:t>o</w:t>
      </w:r>
      <w:r w:rsidR="00B8618D" w:rsidRPr="0004576C">
        <w:rPr>
          <w:rFonts w:ascii="Times New Roman" w:hAnsi="Times New Roman" w:cs="Times New Roman"/>
          <w:sz w:val="24"/>
          <w:szCs w:val="24"/>
        </w:rPr>
        <w:t>ccur</w:t>
      </w:r>
      <w:r w:rsidR="005F2099" w:rsidRPr="0004576C">
        <w:rPr>
          <w:rFonts w:ascii="Times New Roman" w:hAnsi="Times New Roman" w:cs="Times New Roman"/>
          <w:sz w:val="24"/>
          <w:szCs w:val="24"/>
        </w:rPr>
        <w:t>rence of He</w:t>
      </w:r>
      <w:r w:rsidR="00B8618D" w:rsidRPr="0004576C">
        <w:rPr>
          <w:rFonts w:ascii="Times New Roman" w:hAnsi="Times New Roman" w:cs="Times New Roman"/>
          <w:sz w:val="24"/>
          <w:szCs w:val="24"/>
        </w:rPr>
        <w:t>a</w:t>
      </w:r>
      <w:r w:rsidR="005F2099" w:rsidRPr="0004576C">
        <w:rPr>
          <w:rFonts w:ascii="Times New Roman" w:hAnsi="Times New Roman" w:cs="Times New Roman"/>
          <w:sz w:val="24"/>
          <w:szCs w:val="24"/>
        </w:rPr>
        <w:t>r</w:t>
      </w:r>
      <w:r w:rsidR="00B8618D" w:rsidRPr="0004576C">
        <w:rPr>
          <w:rFonts w:ascii="Times New Roman" w:hAnsi="Times New Roman" w:cs="Times New Roman"/>
          <w:sz w:val="24"/>
          <w:szCs w:val="24"/>
        </w:rPr>
        <w:t>t failure if patients with significant cardiovascular risk (</w:t>
      </w:r>
      <w:r w:rsidR="005F2099" w:rsidRPr="0004576C">
        <w:rPr>
          <w:rFonts w:ascii="Times New Roman" w:hAnsi="Times New Roman" w:cs="Times New Roman"/>
          <w:sz w:val="24"/>
          <w:szCs w:val="24"/>
        </w:rPr>
        <w:t>Bozkurt et al., 2016</w:t>
      </w:r>
      <w:r w:rsidR="00B8618D" w:rsidRPr="0004576C">
        <w:rPr>
          <w:rFonts w:ascii="Times New Roman" w:hAnsi="Times New Roman" w:cs="Times New Roman"/>
          <w:sz w:val="24"/>
          <w:szCs w:val="24"/>
        </w:rPr>
        <w:t xml:space="preserve">). </w:t>
      </w:r>
    </w:p>
    <w:p w:rsidR="00C057ED" w:rsidRPr="0004576C" w:rsidRDefault="00C057ED" w:rsidP="0004576C">
      <w:pPr>
        <w:spacing w:line="480" w:lineRule="auto"/>
        <w:ind w:firstLine="720"/>
        <w:rPr>
          <w:rFonts w:ascii="Times New Roman" w:hAnsi="Times New Roman" w:cs="Times New Roman"/>
          <w:sz w:val="24"/>
          <w:szCs w:val="24"/>
        </w:rPr>
      </w:pPr>
      <w:r w:rsidRPr="0004576C">
        <w:rPr>
          <w:rFonts w:ascii="Times New Roman" w:hAnsi="Times New Roman" w:cs="Times New Roman"/>
          <w:sz w:val="24"/>
          <w:szCs w:val="24"/>
        </w:rPr>
        <w:lastRenderedPageBreak/>
        <w:t xml:space="preserve">The potential interaction of the chosen therapy regimens include the potential of exacerbation of hypokalemia with the use of HCTZ, a potassium wasting diuretic, and insulin known to draw potassium into the cell with glucose. To mitigate this effect, I would consider adding a potassium sparing diuretic such as </w:t>
      </w:r>
      <w:r w:rsidR="005D4700">
        <w:rPr>
          <w:rFonts w:ascii="Times New Roman" w:hAnsi="Times New Roman" w:cs="Times New Roman"/>
          <w:sz w:val="24"/>
          <w:szCs w:val="24"/>
        </w:rPr>
        <w:t>A</w:t>
      </w:r>
      <w:r w:rsidR="005D4700" w:rsidRPr="0004576C">
        <w:rPr>
          <w:rFonts w:ascii="Times New Roman" w:hAnsi="Times New Roman" w:cs="Times New Roman"/>
          <w:sz w:val="24"/>
          <w:szCs w:val="24"/>
        </w:rPr>
        <w:t>miloride</w:t>
      </w:r>
      <w:r w:rsidRPr="0004576C">
        <w:rPr>
          <w:rFonts w:ascii="Times New Roman" w:hAnsi="Times New Roman" w:cs="Times New Roman"/>
          <w:sz w:val="24"/>
          <w:szCs w:val="24"/>
        </w:rPr>
        <w:t xml:space="preserve"> which also has the beneficial effect of having some efficacy in lowering blood pressure in patients with hypertension. Secondly, it is the pharmacodynamics interaction between HCTZ and fibrates in which HCTZ might reduce the effects of fibrates by way of creating a small increase in plasma cholesterol concentration. Thirdly, is HCTZ that might </w:t>
      </w:r>
      <w:r w:rsidR="005D4700" w:rsidRPr="0004576C">
        <w:rPr>
          <w:rFonts w:ascii="Times New Roman" w:hAnsi="Times New Roman" w:cs="Times New Roman"/>
          <w:sz w:val="24"/>
          <w:szCs w:val="24"/>
        </w:rPr>
        <w:t>antagonize</w:t>
      </w:r>
      <w:r w:rsidRPr="0004576C">
        <w:rPr>
          <w:rFonts w:ascii="Times New Roman" w:hAnsi="Times New Roman" w:cs="Times New Roman"/>
          <w:sz w:val="24"/>
          <w:szCs w:val="24"/>
        </w:rPr>
        <w:t xml:space="preserve"> the effects of the insulin, requiring higher doses and increased insulin dozing frequency given the fact that HCTZ c</w:t>
      </w:r>
      <w:r w:rsidR="00DC4524" w:rsidRPr="0004576C">
        <w:rPr>
          <w:rFonts w:ascii="Times New Roman" w:hAnsi="Times New Roman" w:cs="Times New Roman"/>
          <w:sz w:val="24"/>
          <w:szCs w:val="24"/>
        </w:rPr>
        <w:t xml:space="preserve">an cause hyperglycemia.  Fourthly, insulin could </w:t>
      </w:r>
      <w:r w:rsidR="005D4700" w:rsidRPr="0004576C">
        <w:rPr>
          <w:rFonts w:ascii="Times New Roman" w:hAnsi="Times New Roman" w:cs="Times New Roman"/>
          <w:sz w:val="24"/>
          <w:szCs w:val="24"/>
        </w:rPr>
        <w:t>antagonize</w:t>
      </w:r>
      <w:r w:rsidR="00DC4524" w:rsidRPr="0004576C">
        <w:rPr>
          <w:rFonts w:ascii="Times New Roman" w:hAnsi="Times New Roman" w:cs="Times New Roman"/>
          <w:sz w:val="24"/>
          <w:szCs w:val="24"/>
        </w:rPr>
        <w:t xml:space="preserve"> the net effects of the fibrates administered by way of causing weight gain and lipodystrophy at the site of injection. Lastly, HCTZ and insulin produces an increased risk of anaphylaxis given the origin and composition of insulin and the likelihood of idiosyncratic reactions with HCTZ. </w:t>
      </w:r>
    </w:p>
    <w:p w:rsidR="00DC4524" w:rsidRPr="0004576C" w:rsidRDefault="00DC4524" w:rsidP="0004576C">
      <w:pPr>
        <w:spacing w:line="480" w:lineRule="auto"/>
        <w:ind w:firstLine="720"/>
        <w:rPr>
          <w:rFonts w:ascii="Times New Roman" w:hAnsi="Times New Roman" w:cs="Times New Roman"/>
          <w:sz w:val="24"/>
          <w:szCs w:val="24"/>
        </w:rPr>
      </w:pPr>
      <w:r w:rsidRPr="0004576C">
        <w:rPr>
          <w:rFonts w:ascii="Times New Roman" w:hAnsi="Times New Roman" w:cs="Times New Roman"/>
          <w:sz w:val="24"/>
          <w:szCs w:val="24"/>
        </w:rPr>
        <w:t>The patient education with regards to these interactions will encompass the effective use of the medication, especially the dosing intervals for each drug to avoid these interactions. Subsequently, the patient will be educated about adherence to therapy and the likelihood of occurrence of adverse drug reactions as a consequence of these interactions. They will be advised to seek medical treatment should they encounter any of the highlighted adverse reactions. The non-pharmacologic educational needs for this patient include the advice on decreasing their salt intake, taking part in regular physical exercises and or activity and relaxation to reduce body weight, minimizing and or avoiding stress, with intake of a balanced diet, notably rich in magnesium, potassium, calcium, fruits, and vegetables.</w:t>
      </w:r>
    </w:p>
    <w:p w:rsidR="00DC4524" w:rsidRPr="0004576C" w:rsidRDefault="00DC4524" w:rsidP="0004576C">
      <w:pPr>
        <w:spacing w:line="480" w:lineRule="auto"/>
        <w:ind w:firstLine="720"/>
        <w:rPr>
          <w:rFonts w:ascii="Times New Roman" w:hAnsi="Times New Roman" w:cs="Times New Roman"/>
          <w:sz w:val="24"/>
          <w:szCs w:val="24"/>
        </w:rPr>
      </w:pPr>
      <w:r w:rsidRPr="0004576C">
        <w:rPr>
          <w:rFonts w:ascii="Times New Roman" w:hAnsi="Times New Roman" w:cs="Times New Roman"/>
          <w:sz w:val="24"/>
          <w:szCs w:val="24"/>
        </w:rPr>
        <w:lastRenderedPageBreak/>
        <w:t xml:space="preserve">Lastly, the interdisciplinary team that might be involved in the care of the patient </w:t>
      </w:r>
      <w:r w:rsidR="005F2099" w:rsidRPr="0004576C">
        <w:rPr>
          <w:rFonts w:ascii="Times New Roman" w:hAnsi="Times New Roman" w:cs="Times New Roman"/>
          <w:sz w:val="24"/>
          <w:szCs w:val="24"/>
        </w:rPr>
        <w:t>includes</w:t>
      </w:r>
      <w:r w:rsidRPr="0004576C">
        <w:rPr>
          <w:rFonts w:ascii="Times New Roman" w:hAnsi="Times New Roman" w:cs="Times New Roman"/>
          <w:sz w:val="24"/>
          <w:szCs w:val="24"/>
        </w:rPr>
        <w:t xml:space="preserve"> the nurses, consulting cardiologists, the attending physicians, laboratory experts, and the physiotherapists. Working collaborative as a team helps to accord each patient quality and comprehensive health care services that would greatly improve the patient outcomes. </w:t>
      </w:r>
      <w:r w:rsidR="005F2099" w:rsidRPr="0004576C">
        <w:rPr>
          <w:rFonts w:ascii="Times New Roman" w:hAnsi="Times New Roman" w:cs="Times New Roman"/>
          <w:sz w:val="24"/>
          <w:szCs w:val="24"/>
        </w:rPr>
        <w:t xml:space="preserve">The health maintenance needs of this patient include regular laboratory work ups to check for any electrolyte or metabolic abnormalities with regular monitoring of the patient’s blood pressure and cardiac activity. </w:t>
      </w:r>
    </w:p>
    <w:p w:rsidR="009D42BA" w:rsidRDefault="009D42BA">
      <w:pPr>
        <w:rPr>
          <w:rFonts w:ascii="Times New Roman" w:hAnsi="Times New Roman" w:cs="Times New Roman"/>
          <w:sz w:val="24"/>
          <w:szCs w:val="24"/>
        </w:rPr>
      </w:pPr>
      <w:r>
        <w:rPr>
          <w:rFonts w:ascii="Times New Roman" w:hAnsi="Times New Roman" w:cs="Times New Roman"/>
          <w:sz w:val="24"/>
          <w:szCs w:val="24"/>
        </w:rPr>
        <w:br w:type="page"/>
      </w:r>
    </w:p>
    <w:p w:rsidR="005F2099" w:rsidRPr="00B76EC1" w:rsidRDefault="005F2099" w:rsidP="009D42BA">
      <w:pPr>
        <w:spacing w:line="480" w:lineRule="auto"/>
        <w:jc w:val="center"/>
        <w:rPr>
          <w:rFonts w:ascii="Times New Roman" w:hAnsi="Times New Roman" w:cs="Times New Roman"/>
          <w:b/>
          <w:sz w:val="24"/>
          <w:szCs w:val="24"/>
        </w:rPr>
      </w:pPr>
      <w:r w:rsidRPr="00B76EC1">
        <w:rPr>
          <w:rFonts w:ascii="Times New Roman" w:hAnsi="Times New Roman" w:cs="Times New Roman"/>
          <w:b/>
          <w:sz w:val="24"/>
          <w:szCs w:val="24"/>
        </w:rPr>
        <w:lastRenderedPageBreak/>
        <w:t>References</w:t>
      </w:r>
    </w:p>
    <w:p w:rsidR="0004576C" w:rsidRPr="0004576C" w:rsidRDefault="0004576C" w:rsidP="009D42BA">
      <w:pPr>
        <w:spacing w:line="480" w:lineRule="auto"/>
        <w:ind w:left="720" w:hanging="720"/>
        <w:rPr>
          <w:rFonts w:ascii="Times New Roman" w:hAnsi="Times New Roman" w:cs="Times New Roman"/>
          <w:sz w:val="24"/>
          <w:szCs w:val="24"/>
        </w:rPr>
      </w:pPr>
      <w:r w:rsidRPr="0004576C">
        <w:rPr>
          <w:rFonts w:ascii="Times New Roman" w:hAnsi="Times New Roman" w:cs="Times New Roman"/>
          <w:sz w:val="24"/>
          <w:szCs w:val="24"/>
        </w:rPr>
        <w:t>Aviles-Santa, M., Hsu, L., Arredondo, M., Menke, A., Werner, E., Thyagarajan, B., Heiss, G., Teng, Y., Schneiderman, N., Giachello, A., Gallo, L., Talavera, G., &amp; Cowie, C. (2016). Differences in Hemoglobin A</w:t>
      </w:r>
      <w:r w:rsidRPr="0004576C">
        <w:rPr>
          <w:rFonts w:ascii="Times New Roman" w:hAnsi="Times New Roman" w:cs="Times New Roman"/>
          <w:sz w:val="24"/>
          <w:szCs w:val="24"/>
          <w:vertAlign w:val="subscript"/>
        </w:rPr>
        <w:t xml:space="preserve">1C </w:t>
      </w:r>
      <w:r w:rsidRPr="0004576C">
        <w:rPr>
          <w:rFonts w:ascii="Times New Roman" w:hAnsi="Times New Roman" w:cs="Times New Roman"/>
          <w:sz w:val="24"/>
          <w:szCs w:val="24"/>
        </w:rPr>
        <w:t xml:space="preserve">between Hispanics/Latinos and Non-Hispanic Whites: An Analysis of the Hispanic Community Health Study/ Study of Latinos and the 2007-2012 National Health and Nutritional Examination Survey.  </w:t>
      </w:r>
      <w:r w:rsidRPr="0004576C">
        <w:rPr>
          <w:rFonts w:ascii="Times New Roman" w:hAnsi="Times New Roman" w:cs="Times New Roman"/>
          <w:i/>
          <w:sz w:val="24"/>
          <w:szCs w:val="24"/>
        </w:rPr>
        <w:t>Diabetes Care</w:t>
      </w:r>
      <w:r w:rsidRPr="0004576C">
        <w:rPr>
          <w:rFonts w:ascii="Times New Roman" w:hAnsi="Times New Roman" w:cs="Times New Roman"/>
          <w:sz w:val="24"/>
          <w:szCs w:val="24"/>
        </w:rPr>
        <w:t>, 39(6): 1010-1017</w:t>
      </w:r>
    </w:p>
    <w:p w:rsidR="005F2099" w:rsidRPr="0004576C" w:rsidRDefault="005F2099" w:rsidP="009D42BA">
      <w:pPr>
        <w:spacing w:line="480" w:lineRule="auto"/>
        <w:ind w:left="720" w:hanging="720"/>
        <w:rPr>
          <w:rFonts w:ascii="Times New Roman" w:hAnsi="Times New Roman" w:cs="Times New Roman"/>
          <w:sz w:val="24"/>
          <w:szCs w:val="24"/>
        </w:rPr>
      </w:pPr>
      <w:r w:rsidRPr="0004576C">
        <w:rPr>
          <w:rFonts w:ascii="Times New Roman" w:hAnsi="Times New Roman" w:cs="Times New Roman"/>
          <w:sz w:val="24"/>
          <w:szCs w:val="24"/>
        </w:rPr>
        <w:t xml:space="preserve">Bozkurt, B., Agular, D., Deswal, A., Dunbar, S., Francis, G., Horwich, T., Jessup, M., Kosiborod, M., et al.  (2016). Contributory Risk Management of Comorbidities of Hypertension, Obesity, Diabetes Mellitus, Hyperlipidemia, and Metabolic Syndrome in Chronic Heart Failure: A Scientific Statement from the American Heart Association. </w:t>
      </w:r>
      <w:r w:rsidRPr="0004576C">
        <w:rPr>
          <w:rFonts w:ascii="Times New Roman" w:hAnsi="Times New Roman" w:cs="Times New Roman"/>
          <w:i/>
          <w:sz w:val="24"/>
          <w:szCs w:val="24"/>
        </w:rPr>
        <w:t>Circulation</w:t>
      </w:r>
      <w:r w:rsidRPr="0004576C">
        <w:rPr>
          <w:rFonts w:ascii="Times New Roman" w:hAnsi="Times New Roman" w:cs="Times New Roman"/>
          <w:sz w:val="24"/>
          <w:szCs w:val="24"/>
        </w:rPr>
        <w:t>, 134(23): e535-e578</w:t>
      </w:r>
    </w:p>
    <w:p w:rsidR="0004576C" w:rsidRDefault="0004576C" w:rsidP="009D42BA">
      <w:pPr>
        <w:spacing w:line="480" w:lineRule="auto"/>
        <w:ind w:left="720" w:hanging="720"/>
        <w:rPr>
          <w:rFonts w:ascii="Times New Roman" w:hAnsi="Times New Roman" w:cs="Times New Roman"/>
          <w:sz w:val="24"/>
          <w:szCs w:val="24"/>
        </w:rPr>
      </w:pPr>
      <w:r w:rsidRPr="0004576C">
        <w:rPr>
          <w:rFonts w:ascii="Times New Roman" w:hAnsi="Times New Roman" w:cs="Times New Roman"/>
          <w:sz w:val="24"/>
          <w:szCs w:val="24"/>
        </w:rPr>
        <w:t xml:space="preserve">Guerrero-Garcia, C., &amp; Rubio-Guerra, A. F. (2018). Combination Therapy in the Treatment of Hypertension. </w:t>
      </w:r>
      <w:r w:rsidRPr="0004576C">
        <w:rPr>
          <w:rFonts w:ascii="Times New Roman" w:hAnsi="Times New Roman" w:cs="Times New Roman"/>
          <w:i/>
          <w:sz w:val="24"/>
          <w:szCs w:val="24"/>
        </w:rPr>
        <w:t>Drugs Context</w:t>
      </w:r>
      <w:r w:rsidRPr="0004576C">
        <w:rPr>
          <w:rFonts w:ascii="Times New Roman" w:hAnsi="Times New Roman" w:cs="Times New Roman"/>
          <w:sz w:val="24"/>
          <w:szCs w:val="24"/>
        </w:rPr>
        <w:t>, 7: 212531</w:t>
      </w:r>
    </w:p>
    <w:p w:rsidR="009D42BA" w:rsidRPr="0004576C" w:rsidRDefault="009D42BA" w:rsidP="009D42B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Guwatudde, D., Joan, </w:t>
      </w:r>
      <w:r w:rsidR="005D4700">
        <w:rPr>
          <w:rFonts w:ascii="Times New Roman" w:hAnsi="Times New Roman" w:cs="Times New Roman"/>
          <w:sz w:val="24"/>
          <w:szCs w:val="24"/>
        </w:rPr>
        <w:t>N., Kalyesubula, R</w:t>
      </w:r>
      <w:r>
        <w:rPr>
          <w:rFonts w:ascii="Times New Roman" w:hAnsi="Times New Roman" w:cs="Times New Roman"/>
          <w:sz w:val="24"/>
          <w:szCs w:val="24"/>
        </w:rPr>
        <w:t xml:space="preserve">., Laurence, C., Adebamowo, C., Ajayi, I., Bajunirwe, F., Njelekela, M., Chiwanga, F., Reid, T. et al. (2015). The Burden of Hypertension in Sub-Saharan Africa: A Four-Country Cross Sectional Study. </w:t>
      </w:r>
      <w:r w:rsidRPr="009D42BA">
        <w:rPr>
          <w:rFonts w:ascii="Times New Roman" w:hAnsi="Times New Roman" w:cs="Times New Roman"/>
          <w:i/>
          <w:sz w:val="24"/>
          <w:szCs w:val="24"/>
        </w:rPr>
        <w:t>BMC Public Health</w:t>
      </w:r>
      <w:r>
        <w:rPr>
          <w:rFonts w:ascii="Times New Roman" w:hAnsi="Times New Roman" w:cs="Times New Roman"/>
          <w:sz w:val="24"/>
          <w:szCs w:val="24"/>
        </w:rPr>
        <w:t>, 1211(2015)</w:t>
      </w:r>
    </w:p>
    <w:p w:rsidR="005F2099" w:rsidRPr="0004576C" w:rsidRDefault="005F2099" w:rsidP="009D42BA">
      <w:pPr>
        <w:spacing w:line="480" w:lineRule="auto"/>
        <w:ind w:left="720" w:hanging="720"/>
        <w:rPr>
          <w:rFonts w:ascii="Times New Roman" w:hAnsi="Times New Roman" w:cs="Times New Roman"/>
          <w:sz w:val="24"/>
          <w:szCs w:val="24"/>
        </w:rPr>
      </w:pPr>
      <w:r w:rsidRPr="0004576C">
        <w:rPr>
          <w:rFonts w:ascii="Times New Roman" w:hAnsi="Times New Roman" w:cs="Times New Roman"/>
          <w:sz w:val="24"/>
          <w:szCs w:val="24"/>
        </w:rPr>
        <w:t>Takahara, A., Nozaki, S., Ishiguro, A., Okmura, K., Cao, X., Aimoto, M., &amp; Nagasawa, Y. (2018). Selectivity of Ca</w:t>
      </w:r>
      <w:r w:rsidRPr="0004576C">
        <w:rPr>
          <w:rFonts w:ascii="Times New Roman" w:hAnsi="Times New Roman" w:cs="Times New Roman"/>
          <w:sz w:val="24"/>
          <w:szCs w:val="24"/>
          <w:vertAlign w:val="superscript"/>
        </w:rPr>
        <w:t>2+</w:t>
      </w:r>
      <w:r w:rsidRPr="0004576C">
        <w:rPr>
          <w:rFonts w:ascii="Times New Roman" w:hAnsi="Times New Roman" w:cs="Times New Roman"/>
          <w:sz w:val="24"/>
          <w:szCs w:val="24"/>
        </w:rPr>
        <w:t xml:space="preserve"> Channel Blockers for Dilator Actions on the Isolated Lower Esophageal Sphincter and Aorta from Rats. </w:t>
      </w:r>
      <w:r w:rsidRPr="0004576C">
        <w:rPr>
          <w:rFonts w:ascii="Times New Roman" w:hAnsi="Times New Roman" w:cs="Times New Roman"/>
          <w:i/>
          <w:sz w:val="24"/>
          <w:szCs w:val="24"/>
        </w:rPr>
        <w:t>Journal of Pharmacological Sciences</w:t>
      </w:r>
      <w:r w:rsidRPr="0004576C">
        <w:rPr>
          <w:rFonts w:ascii="Times New Roman" w:hAnsi="Times New Roman" w:cs="Times New Roman"/>
          <w:sz w:val="24"/>
          <w:szCs w:val="24"/>
        </w:rPr>
        <w:t>, 137(1): 98-100</w:t>
      </w:r>
    </w:p>
    <w:sectPr w:rsidR="005F2099" w:rsidRPr="0004576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66AF" w:rsidRDefault="000966AF" w:rsidP="0004576C">
      <w:pPr>
        <w:spacing w:after="0" w:line="240" w:lineRule="auto"/>
      </w:pPr>
      <w:r>
        <w:separator/>
      </w:r>
    </w:p>
  </w:endnote>
  <w:endnote w:type="continuationSeparator" w:id="0">
    <w:p w:rsidR="000966AF" w:rsidRDefault="000966AF" w:rsidP="000457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66AF" w:rsidRDefault="000966AF" w:rsidP="0004576C">
      <w:pPr>
        <w:spacing w:after="0" w:line="240" w:lineRule="auto"/>
      </w:pPr>
      <w:r>
        <w:separator/>
      </w:r>
    </w:p>
  </w:footnote>
  <w:footnote w:type="continuationSeparator" w:id="0">
    <w:p w:rsidR="000966AF" w:rsidRDefault="000966AF" w:rsidP="000457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3149756"/>
      <w:docPartObj>
        <w:docPartGallery w:val="Page Numbers (Top of Page)"/>
        <w:docPartUnique/>
      </w:docPartObj>
    </w:sdtPr>
    <w:sdtEndPr>
      <w:rPr>
        <w:noProof/>
      </w:rPr>
    </w:sdtEndPr>
    <w:sdtContent>
      <w:p w:rsidR="0004576C" w:rsidRDefault="0004576C">
        <w:pPr>
          <w:pStyle w:val="Header"/>
          <w:jc w:val="right"/>
        </w:pPr>
        <w:r>
          <w:fldChar w:fldCharType="begin"/>
        </w:r>
        <w:r>
          <w:instrText xml:space="preserve"> PAGE   \* MERGEFORMAT </w:instrText>
        </w:r>
        <w:r>
          <w:fldChar w:fldCharType="separate"/>
        </w:r>
        <w:r w:rsidR="008E5BE5">
          <w:rPr>
            <w:noProof/>
          </w:rPr>
          <w:t>2</w:t>
        </w:r>
        <w:r>
          <w:rPr>
            <w:noProof/>
          </w:rPr>
          <w:fldChar w:fldCharType="end"/>
        </w:r>
      </w:p>
    </w:sdtContent>
  </w:sdt>
  <w:p w:rsidR="0004576C" w:rsidRDefault="000457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10FE"/>
    <w:rsid w:val="0004576C"/>
    <w:rsid w:val="000554E4"/>
    <w:rsid w:val="000816AE"/>
    <w:rsid w:val="000966AF"/>
    <w:rsid w:val="000A671C"/>
    <w:rsid w:val="003454D2"/>
    <w:rsid w:val="003610FE"/>
    <w:rsid w:val="005D4700"/>
    <w:rsid w:val="005F2099"/>
    <w:rsid w:val="006704CA"/>
    <w:rsid w:val="00773E76"/>
    <w:rsid w:val="008E5BE5"/>
    <w:rsid w:val="009D3E70"/>
    <w:rsid w:val="009D42BA"/>
    <w:rsid w:val="00AC0D7B"/>
    <w:rsid w:val="00B13D2F"/>
    <w:rsid w:val="00B76EC1"/>
    <w:rsid w:val="00B8618D"/>
    <w:rsid w:val="00C057ED"/>
    <w:rsid w:val="00DC4524"/>
    <w:rsid w:val="00DC4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7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76C"/>
  </w:style>
  <w:style w:type="paragraph" w:styleId="Footer">
    <w:name w:val="footer"/>
    <w:basedOn w:val="Normal"/>
    <w:link w:val="FooterChar"/>
    <w:uiPriority w:val="99"/>
    <w:unhideWhenUsed/>
    <w:rsid w:val="000457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7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7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76C"/>
  </w:style>
  <w:style w:type="paragraph" w:styleId="Footer">
    <w:name w:val="footer"/>
    <w:basedOn w:val="Normal"/>
    <w:link w:val="FooterChar"/>
    <w:uiPriority w:val="99"/>
    <w:unhideWhenUsed/>
    <w:rsid w:val="000457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7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1533</Words>
  <Characters>8743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Patricia_Ann</dc:creator>
  <cp:lastModifiedBy>Kamande</cp:lastModifiedBy>
  <cp:revision>2</cp:revision>
  <dcterms:created xsi:type="dcterms:W3CDTF">2020-08-13T02:05:00Z</dcterms:created>
  <dcterms:modified xsi:type="dcterms:W3CDTF">2020-08-13T02:05:00Z</dcterms:modified>
</cp:coreProperties>
</file>